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77" w:rsidRPr="00D73388" w:rsidRDefault="00D73388" w:rsidP="00D73388">
      <w:pPr>
        <w:spacing w:after="120" w:line="257" w:lineRule="auto"/>
        <w:ind w:left="0" w:firstLine="0"/>
        <w:jc w:val="center"/>
        <w:rPr>
          <w:szCs w:val="24"/>
        </w:rPr>
      </w:pPr>
      <w:r w:rsidRPr="00D73388">
        <w:rPr>
          <w:b/>
          <w:szCs w:val="24"/>
        </w:rPr>
        <w:t>REGULAMIN ZASAD FINANSOWANIA ROCZNEJ DZIAŁALNOŚCI NAUKOWEJ I PODNOSZĄCEJ KOMPETENCJE PRACOWNIKÓW WSMIP</w:t>
      </w:r>
    </w:p>
    <w:p w:rsidR="00FA4C77" w:rsidRPr="00D73388" w:rsidRDefault="00D73388">
      <w:pPr>
        <w:spacing w:after="158" w:line="259" w:lineRule="auto"/>
        <w:ind w:left="0" w:firstLine="0"/>
        <w:jc w:val="left"/>
      </w:pPr>
      <w:r w:rsidRPr="00D73388">
        <w:t xml:space="preserve"> </w:t>
      </w:r>
    </w:p>
    <w:p w:rsidR="00FA4C77" w:rsidRPr="00D73388" w:rsidRDefault="00D73388">
      <w:pPr>
        <w:spacing w:after="208" w:line="259" w:lineRule="auto"/>
        <w:ind w:left="0" w:firstLine="0"/>
        <w:jc w:val="left"/>
      </w:pPr>
      <w:r w:rsidRPr="00D73388">
        <w:t xml:space="preserve"> </w:t>
      </w:r>
    </w:p>
    <w:p w:rsidR="00FA4C77" w:rsidRPr="00D73388" w:rsidRDefault="00D73388">
      <w:pPr>
        <w:spacing w:after="148"/>
        <w:ind w:left="-5"/>
      </w:pPr>
      <w:r w:rsidRPr="00D73388">
        <w:rPr>
          <w:b/>
        </w:rPr>
        <w:t xml:space="preserve">OGÓLNE ZAŁOŻENIA </w:t>
      </w:r>
    </w:p>
    <w:p w:rsidR="00FA4C77" w:rsidRPr="00D73388" w:rsidRDefault="00D73388">
      <w:pPr>
        <w:spacing w:after="176" w:line="259" w:lineRule="auto"/>
        <w:ind w:left="0" w:firstLine="0"/>
        <w:jc w:val="left"/>
      </w:pPr>
      <w:r w:rsidRPr="00D73388">
        <w:rPr>
          <w:b/>
        </w:rPr>
        <w:t xml:space="preserve"> </w:t>
      </w:r>
    </w:p>
    <w:p w:rsidR="00FA4C77" w:rsidRPr="00D73388" w:rsidRDefault="00D73388">
      <w:pPr>
        <w:numPr>
          <w:ilvl w:val="0"/>
          <w:numId w:val="1"/>
        </w:numPr>
        <w:spacing w:after="189"/>
        <w:ind w:hanging="180"/>
      </w:pPr>
      <w:r w:rsidRPr="00D73388">
        <w:rPr>
          <w:b/>
        </w:rPr>
        <w:t>konkurs przeznaczony jest dla pracowników badawczo-dydaktycznych nieotrzymujących śr</w:t>
      </w:r>
      <w:r w:rsidR="00F3041A" w:rsidRPr="00D73388">
        <w:rPr>
          <w:b/>
        </w:rPr>
        <w:t>odków z grantów zewnętrznych, grantów IDUB UŁ, ani</w:t>
      </w:r>
      <w:r w:rsidRPr="00D73388">
        <w:rPr>
          <w:b/>
        </w:rPr>
        <w:t xml:space="preserve"> wydziałowych grantów badawczych oraz niebędących kierownikami jednostek na WSMiP</w:t>
      </w:r>
      <w:r w:rsidRPr="00D73388">
        <w:t xml:space="preserve">; </w:t>
      </w:r>
    </w:p>
    <w:p w:rsidR="00F3041A" w:rsidRPr="00D73388" w:rsidRDefault="00F3041A">
      <w:pPr>
        <w:numPr>
          <w:ilvl w:val="0"/>
          <w:numId w:val="1"/>
        </w:numPr>
        <w:spacing w:after="189"/>
        <w:ind w:hanging="180"/>
      </w:pPr>
      <w:r w:rsidRPr="00D73388">
        <w:rPr>
          <w:b/>
        </w:rPr>
        <w:t>planowane wydatki muszą być zgodne z wymogami wymienionymi w Zarządzeniu nr 58 Rektora UŁ z dnia 9.12.2020r. w sprawie określania szczegółowych zasad dysponowania funduszem rozwoju naukowego Uczelni oraz kryteriów, jakie powinny spełniać przedsięwzięcia finansowane z tego funduszu;</w:t>
      </w:r>
    </w:p>
    <w:p w:rsidR="00FA4C77" w:rsidRPr="00D73388" w:rsidRDefault="00D73388">
      <w:pPr>
        <w:numPr>
          <w:ilvl w:val="0"/>
          <w:numId w:val="1"/>
        </w:numPr>
        <w:ind w:hanging="180"/>
      </w:pPr>
      <w:r w:rsidRPr="00D73388">
        <w:t xml:space="preserve">wspólna lista rankingowa 40 najlepszych wniosków, oparta na jednakowych kryteriach; </w:t>
      </w:r>
    </w:p>
    <w:p w:rsidR="00FA4C77" w:rsidRPr="00D73388" w:rsidRDefault="00D73388">
      <w:pPr>
        <w:numPr>
          <w:ilvl w:val="0"/>
          <w:numId w:val="1"/>
        </w:numPr>
        <w:ind w:hanging="180"/>
      </w:pPr>
      <w:r w:rsidRPr="00D73388">
        <w:t xml:space="preserve">wnioskodawcy z miejsc 1–15 otrzymują po 4000 zł, a z miejsc 16–40 po 2400 zł do wykorzystania w najbliższym roku kalendarzowym; </w:t>
      </w:r>
    </w:p>
    <w:p w:rsidR="00FA4C77" w:rsidRPr="00D73388" w:rsidRDefault="00D73388">
      <w:pPr>
        <w:numPr>
          <w:ilvl w:val="0"/>
          <w:numId w:val="1"/>
        </w:numPr>
        <w:ind w:hanging="180"/>
      </w:pPr>
      <w:r w:rsidRPr="00D73388">
        <w:t>wni</w:t>
      </w:r>
      <w:r w:rsidR="00F3041A" w:rsidRPr="00D73388">
        <w:t xml:space="preserve">oski oceniane są przez </w:t>
      </w:r>
      <w:r w:rsidRPr="00D73388">
        <w:t xml:space="preserve">wydziałową Komisję powołaną przez Dziekana; </w:t>
      </w:r>
    </w:p>
    <w:p w:rsidR="00FA4C77" w:rsidRPr="00D73388" w:rsidRDefault="00F3041A">
      <w:pPr>
        <w:numPr>
          <w:ilvl w:val="0"/>
          <w:numId w:val="1"/>
        </w:numPr>
        <w:ind w:hanging="180"/>
      </w:pPr>
      <w:r w:rsidRPr="00D73388">
        <w:t>w ocenie</w:t>
      </w:r>
      <w:r w:rsidR="00D73388" w:rsidRPr="00D73388">
        <w:t xml:space="preserve"> uw</w:t>
      </w:r>
      <w:r w:rsidRPr="00D73388">
        <w:t>zględniany jest plan działań i</w:t>
      </w:r>
      <w:r w:rsidR="00D73388" w:rsidRPr="00D73388">
        <w:t xml:space="preserve"> dotychczasowy dorobek. </w:t>
      </w:r>
    </w:p>
    <w:p w:rsidR="00FA4C77" w:rsidRPr="00D73388" w:rsidRDefault="00D73388">
      <w:pPr>
        <w:numPr>
          <w:ilvl w:val="0"/>
          <w:numId w:val="1"/>
        </w:numPr>
        <w:ind w:hanging="180"/>
      </w:pPr>
      <w:r w:rsidRPr="00D73388">
        <w:t xml:space="preserve">pracownicy z miejsc poniżej 40 w rankingu mogą ubiegać się o dofinansowanie do 1000 zł; wnioski rozpatruje na bieżąco kolegium dziekańskie; </w:t>
      </w:r>
    </w:p>
    <w:p w:rsidR="00FA4C77" w:rsidRPr="00D73388" w:rsidRDefault="00D73388">
      <w:pPr>
        <w:numPr>
          <w:ilvl w:val="0"/>
          <w:numId w:val="1"/>
        </w:numPr>
        <w:spacing w:after="143"/>
        <w:ind w:hanging="180"/>
      </w:pPr>
      <w:r w:rsidRPr="00D73388">
        <w:t xml:space="preserve">dziekan dysponuje rezerwą, którą może przeznaczyć na dofinansowanie ważnych/prestiżowych działań, których nie dało się przewidzieć w planie przedłożonym we wniosku lub wymagających nakładów wyższych niż limity finansowania.  </w:t>
      </w:r>
    </w:p>
    <w:p w:rsidR="00FA4C77" w:rsidRPr="00D73388" w:rsidRDefault="00D73388">
      <w:pPr>
        <w:spacing w:after="158" w:line="259" w:lineRule="auto"/>
        <w:ind w:left="0" w:firstLine="0"/>
        <w:jc w:val="left"/>
      </w:pPr>
      <w:r w:rsidRPr="00D73388">
        <w:t xml:space="preserve"> </w:t>
      </w:r>
    </w:p>
    <w:p w:rsidR="00FA4C77" w:rsidRPr="00D73388" w:rsidRDefault="00D73388">
      <w:pPr>
        <w:spacing w:after="148"/>
        <w:ind w:left="-5"/>
      </w:pPr>
      <w:r w:rsidRPr="00D73388">
        <w:rPr>
          <w:b/>
        </w:rPr>
        <w:t xml:space="preserve">KRYTERIA </w:t>
      </w:r>
    </w:p>
    <w:p w:rsidR="00FA4C77" w:rsidRPr="00D73388" w:rsidRDefault="00D73388" w:rsidP="00F3041A">
      <w:pPr>
        <w:spacing w:after="202" w:line="259" w:lineRule="auto"/>
        <w:ind w:left="0" w:firstLine="0"/>
        <w:jc w:val="left"/>
        <w:rPr>
          <w:b/>
        </w:rPr>
      </w:pPr>
      <w:r w:rsidRPr="00D73388">
        <w:rPr>
          <w:b/>
        </w:rPr>
        <w:t>1.</w:t>
      </w:r>
      <w:r w:rsidRPr="00D73388">
        <w:rPr>
          <w:rFonts w:eastAsia="Arial"/>
          <w:b/>
        </w:rPr>
        <w:t xml:space="preserve"> </w:t>
      </w:r>
      <w:r w:rsidRPr="00D73388">
        <w:rPr>
          <w:b/>
        </w:rPr>
        <w:t xml:space="preserve">Zawartość wniosku </w:t>
      </w:r>
    </w:p>
    <w:p w:rsidR="00FA4C77" w:rsidRPr="00D73388" w:rsidRDefault="00D73388">
      <w:pPr>
        <w:spacing w:after="149"/>
        <w:ind w:left="-5"/>
      </w:pPr>
      <w:r w:rsidRPr="00D73388">
        <w:t xml:space="preserve">Rodzaje działań, które mogą być finansowane: </w:t>
      </w:r>
    </w:p>
    <w:p w:rsidR="00C56D5E" w:rsidRPr="00D73388" w:rsidRDefault="00C56D5E" w:rsidP="00D73388">
      <w:pPr>
        <w:pStyle w:val="Default"/>
        <w:spacing w:after="66" w:line="276" w:lineRule="auto"/>
        <w:rPr>
          <w:rFonts w:ascii="Times New Roman" w:hAnsi="Times New Roman" w:cs="Times New Roman"/>
          <w:sz w:val="23"/>
          <w:szCs w:val="23"/>
        </w:rPr>
      </w:pPr>
      <w:r w:rsidRPr="00D73388">
        <w:rPr>
          <w:rFonts w:ascii="Times New Roman" w:hAnsi="Times New Roman" w:cs="Times New Roman"/>
          <w:sz w:val="23"/>
          <w:szCs w:val="23"/>
        </w:rPr>
        <w:t>1) wspierania i promowania rozwoju badań naukowych w UŁ;</w:t>
      </w:r>
    </w:p>
    <w:p w:rsidR="00C56D5E" w:rsidRPr="00D73388" w:rsidRDefault="00C56D5E" w:rsidP="00D73388">
      <w:pPr>
        <w:pStyle w:val="Default"/>
        <w:spacing w:after="66" w:line="276" w:lineRule="auto"/>
        <w:rPr>
          <w:rFonts w:ascii="Times New Roman" w:hAnsi="Times New Roman" w:cs="Times New Roman"/>
          <w:sz w:val="23"/>
          <w:szCs w:val="23"/>
        </w:rPr>
      </w:pPr>
      <w:r w:rsidRPr="00D73388">
        <w:rPr>
          <w:rFonts w:ascii="Times New Roman" w:hAnsi="Times New Roman" w:cs="Times New Roman"/>
          <w:sz w:val="23"/>
          <w:szCs w:val="23"/>
        </w:rPr>
        <w:t xml:space="preserve">2) podejmowania działań zmierzających do wzrostu międzynarodowej rozpoznawalności UŁ; </w:t>
      </w:r>
    </w:p>
    <w:p w:rsidR="00C56D5E" w:rsidRPr="00D73388" w:rsidRDefault="00C56D5E" w:rsidP="00D73388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D73388">
        <w:rPr>
          <w:rFonts w:ascii="Times New Roman" w:hAnsi="Times New Roman" w:cs="Times New Roman"/>
          <w:sz w:val="23"/>
          <w:szCs w:val="23"/>
        </w:rPr>
        <w:t>3) komercjalizacji wyników badań pracown</w:t>
      </w:r>
      <w:r w:rsidR="001B22B5">
        <w:rPr>
          <w:rFonts w:ascii="Times New Roman" w:hAnsi="Times New Roman" w:cs="Times New Roman"/>
          <w:sz w:val="23"/>
          <w:szCs w:val="23"/>
        </w:rPr>
        <w:t>ików UŁ</w:t>
      </w:r>
      <w:r w:rsidRPr="00D7338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56D5E" w:rsidRPr="00D73388" w:rsidRDefault="00C56D5E" w:rsidP="00D73388">
      <w:pPr>
        <w:pStyle w:val="Default"/>
        <w:spacing w:line="276" w:lineRule="auto"/>
        <w:rPr>
          <w:rFonts w:ascii="Times New Roman" w:hAnsi="Times New Roman" w:cs="Times New Roman"/>
        </w:rPr>
      </w:pPr>
      <w:r w:rsidRPr="00D73388">
        <w:rPr>
          <w:rFonts w:ascii="Times New Roman" w:hAnsi="Times New Roman" w:cs="Times New Roman"/>
          <w:sz w:val="23"/>
          <w:szCs w:val="23"/>
        </w:rPr>
        <w:t xml:space="preserve">4) </w:t>
      </w:r>
      <w:r w:rsidR="00D73388" w:rsidRPr="00D73388">
        <w:rPr>
          <w:rFonts w:ascii="Times New Roman" w:hAnsi="Times New Roman" w:cs="Times New Roman"/>
        </w:rPr>
        <w:t>zainicjowanie lub kontynuacja prac badawczych: kwerenda, badania pilotażowe, badan</w:t>
      </w:r>
      <w:r w:rsidR="00F3041A" w:rsidRPr="00D73388">
        <w:rPr>
          <w:rFonts w:ascii="Times New Roman" w:hAnsi="Times New Roman" w:cs="Times New Roman"/>
        </w:rPr>
        <w:t>ia tereno</w:t>
      </w:r>
      <w:r w:rsidR="001B22B5">
        <w:rPr>
          <w:rFonts w:ascii="Times New Roman" w:hAnsi="Times New Roman" w:cs="Times New Roman"/>
        </w:rPr>
        <w:t>we, krótkie staże;</w:t>
      </w:r>
    </w:p>
    <w:p w:rsidR="00C56D5E" w:rsidRPr="00D73388" w:rsidRDefault="00C56D5E" w:rsidP="00D73388">
      <w:pPr>
        <w:pStyle w:val="Default"/>
        <w:spacing w:line="276" w:lineRule="auto"/>
        <w:rPr>
          <w:rFonts w:ascii="Times New Roman" w:hAnsi="Times New Roman" w:cs="Times New Roman"/>
        </w:rPr>
      </w:pPr>
      <w:r w:rsidRPr="00D73388">
        <w:rPr>
          <w:rFonts w:ascii="Times New Roman" w:hAnsi="Times New Roman" w:cs="Times New Roman"/>
        </w:rPr>
        <w:t xml:space="preserve">5) </w:t>
      </w:r>
      <w:r w:rsidR="00D73388" w:rsidRPr="00D73388">
        <w:rPr>
          <w:rFonts w:ascii="Times New Roman" w:hAnsi="Times New Roman" w:cs="Times New Roman"/>
        </w:rPr>
        <w:t>udział z referatem w konferencjach nauko</w:t>
      </w:r>
      <w:r w:rsidR="001B22B5">
        <w:rPr>
          <w:rFonts w:ascii="Times New Roman" w:hAnsi="Times New Roman" w:cs="Times New Roman"/>
        </w:rPr>
        <w:t>wych o zasięgu międzynarodowym</w:t>
      </w:r>
      <w:r w:rsidR="00D73388" w:rsidRPr="00D73388">
        <w:rPr>
          <w:rFonts w:ascii="Times New Roman" w:hAnsi="Times New Roman" w:cs="Times New Roman"/>
        </w:rPr>
        <w:t xml:space="preserve">; </w:t>
      </w:r>
    </w:p>
    <w:p w:rsidR="00C56D5E" w:rsidRPr="00D73388" w:rsidRDefault="00C56D5E" w:rsidP="00D73388">
      <w:pPr>
        <w:pStyle w:val="Default"/>
        <w:spacing w:line="276" w:lineRule="auto"/>
        <w:rPr>
          <w:rFonts w:ascii="Times New Roman" w:hAnsi="Times New Roman" w:cs="Times New Roman"/>
        </w:rPr>
      </w:pPr>
      <w:r w:rsidRPr="00D73388">
        <w:rPr>
          <w:rFonts w:ascii="Times New Roman" w:hAnsi="Times New Roman" w:cs="Times New Roman"/>
        </w:rPr>
        <w:lastRenderedPageBreak/>
        <w:t xml:space="preserve">6) </w:t>
      </w:r>
      <w:r w:rsidR="00D73388" w:rsidRPr="00D73388">
        <w:rPr>
          <w:rFonts w:ascii="Times New Roman" w:hAnsi="Times New Roman" w:cs="Times New Roman"/>
        </w:rPr>
        <w:t>prace edytorskie (tłumaczenie, redakcja, korekta językowa) publikacji naukowych przygotowywanych do druku w wysoko punktowanych czasopismach lub wyd</w:t>
      </w:r>
      <w:r w:rsidRPr="00D73388">
        <w:rPr>
          <w:rFonts w:ascii="Times New Roman" w:hAnsi="Times New Roman" w:cs="Times New Roman"/>
        </w:rPr>
        <w:t>awnictwach obcojęzycznych;</w:t>
      </w:r>
    </w:p>
    <w:p w:rsidR="00FA4C77" w:rsidRPr="00D73388" w:rsidRDefault="00D73388" w:rsidP="00D73388">
      <w:pPr>
        <w:pStyle w:val="Default"/>
        <w:spacing w:line="276" w:lineRule="auto"/>
        <w:rPr>
          <w:rFonts w:ascii="Times New Roman" w:hAnsi="Times New Roman" w:cs="Times New Roman"/>
        </w:rPr>
      </w:pPr>
      <w:r w:rsidRPr="00D73388">
        <w:rPr>
          <w:rFonts w:ascii="Times New Roman" w:hAnsi="Times New Roman" w:cs="Times New Roman"/>
        </w:rPr>
        <w:t xml:space="preserve"> </w:t>
      </w:r>
    </w:p>
    <w:p w:rsidR="00FA4C77" w:rsidRPr="00D73388" w:rsidRDefault="00D73388">
      <w:pPr>
        <w:ind w:left="-15" w:firstLine="708"/>
      </w:pPr>
      <w:r w:rsidRPr="00D73388">
        <w:t>Lista nie jest wyczerpująca, ale wskazuje typy preferowanych aktywności. Komisja ocenia każdą z nich na podstawie ogólnie przyjętych kryteriów jakościowych, takich jak znaczenie naukowe planowanego działania, możliwość jego realizacji i jego wkła</w:t>
      </w:r>
      <w:r w:rsidR="00C56D5E" w:rsidRPr="00D73388">
        <w:t>d w rozwój naukowy wnioskodawcy</w:t>
      </w:r>
      <w:r w:rsidRPr="00D73388">
        <w:t>;</w:t>
      </w:r>
      <w:r w:rsidR="00C56D5E" w:rsidRPr="00D73388">
        <w:t xml:space="preserve"> prestiż, zasięg konferencji</w:t>
      </w:r>
      <w:r w:rsidRPr="00D73388">
        <w:t xml:space="preserve">; wartość punktowa oraz rozpoznawalność i zasięg </w:t>
      </w:r>
      <w:r w:rsidR="00C56D5E" w:rsidRPr="00D73388">
        <w:t>wpływu planowanej publikacji</w:t>
      </w:r>
      <w:r w:rsidRPr="00D73388">
        <w:t>; wpływ szkolenia na podniesienie umiejętności wnioskodawcy, związek jego tematyki z działalnością naukową i dydaktyczną wnioskodawcy it</w:t>
      </w:r>
      <w:r w:rsidR="00C56D5E" w:rsidRPr="00D73388">
        <w:t>p</w:t>
      </w:r>
      <w:r w:rsidRPr="00D73388">
        <w:t>. W każdym przypadku ocenie podlega także zasadność planowanych kosztów (wnioskodawca powinien np. wykazać, że literatura, której poszukuje, nie jest dostępna online</w:t>
      </w:r>
      <w:r w:rsidR="00C56D5E" w:rsidRPr="00D73388">
        <w:t>).</w:t>
      </w:r>
      <w:r w:rsidRPr="00D73388">
        <w:t xml:space="preserve"> Szczegółowe kryteria i sposób oceny określi Komisja na swoim pierwszym posiedzeniu. </w:t>
      </w:r>
    </w:p>
    <w:p w:rsidR="00FA4C77" w:rsidRPr="00D73388" w:rsidRDefault="00D73388">
      <w:pPr>
        <w:tabs>
          <w:tab w:val="center" w:pos="2020"/>
        </w:tabs>
        <w:spacing w:after="153"/>
        <w:ind w:left="-15" w:firstLine="0"/>
        <w:jc w:val="left"/>
        <w:rPr>
          <w:b/>
        </w:rPr>
      </w:pPr>
      <w:r w:rsidRPr="00D73388">
        <w:rPr>
          <w:b/>
        </w:rPr>
        <w:t>2.</w:t>
      </w:r>
      <w:r w:rsidRPr="00D73388">
        <w:rPr>
          <w:rFonts w:eastAsia="Arial"/>
          <w:b/>
        </w:rPr>
        <w:t xml:space="preserve"> </w:t>
      </w:r>
      <w:r w:rsidRPr="00D73388">
        <w:rPr>
          <w:rFonts w:eastAsia="Arial"/>
          <w:b/>
        </w:rPr>
        <w:tab/>
      </w:r>
      <w:r w:rsidRPr="00D73388">
        <w:rPr>
          <w:b/>
        </w:rPr>
        <w:t xml:space="preserve">  Wcześniejsze osiągnięcia.  </w:t>
      </w:r>
    </w:p>
    <w:p w:rsidR="00FA4C77" w:rsidRPr="00D73388" w:rsidRDefault="00D73388">
      <w:pPr>
        <w:spacing w:after="128"/>
        <w:ind w:left="-5"/>
        <w:rPr>
          <w:u w:val="thick"/>
        </w:rPr>
      </w:pPr>
      <w:r w:rsidRPr="00D73388">
        <w:t>Komisja nie ocenia dorobku naukowego kandydata (sprawdza tylko na ostatnim etapie postępowania, czy jest on s</w:t>
      </w:r>
      <w:r w:rsidR="001B22B5">
        <w:t>pójny z planowanymi działaniami</w:t>
      </w:r>
      <w:r w:rsidRPr="00D73388">
        <w:t xml:space="preserve"> oraz</w:t>
      </w:r>
      <w:r w:rsidR="001B22B5">
        <w:t>,</w:t>
      </w:r>
      <w:r w:rsidRPr="00D73388">
        <w:t xml:space="preserve"> czy planowane działania wniosą coś nowego do dorobku). Sprawdza natomiast, począwszy od drugiej edycji konkursu, czy środki przyznane w poprzednim roku (latach) zostały wydane zgodnie z planem zawartym we wniosku i przyniosły założone efekty. </w:t>
      </w:r>
      <w:r w:rsidRPr="00D73388">
        <w:rPr>
          <w:u w:val="thick"/>
        </w:rPr>
        <w:t xml:space="preserve">W tym celu wnioskodawca powinien dołączyć stosowne poświadczenia, np. certyfikaty udziału w konferencji czy szkoleniu, potwierdzenie pobytu na stażu/kwerendzie, opublikowane lub złożone do druku teksty naukowe itp. Niezrealizowanie planowanych działań z winy wnioskodawcy może skutkować obniżeniem punktacji albo całkowitym odrzuceniem wniosku w bieżącej edycji. </w:t>
      </w:r>
      <w:r w:rsidRPr="00D73388">
        <w:rPr>
          <w:sz w:val="20"/>
          <w:u w:val="thick"/>
        </w:rPr>
        <w:t xml:space="preserve"> </w:t>
      </w:r>
    </w:p>
    <w:p w:rsidR="00FA4C77" w:rsidRPr="00D73388" w:rsidRDefault="00D73388">
      <w:pPr>
        <w:spacing w:after="158" w:line="259" w:lineRule="auto"/>
        <w:ind w:left="0" w:firstLine="0"/>
        <w:jc w:val="left"/>
      </w:pPr>
      <w:r w:rsidRPr="00D73388">
        <w:t xml:space="preserve"> </w:t>
      </w:r>
    </w:p>
    <w:p w:rsidR="00FA4C77" w:rsidRPr="00D73388" w:rsidRDefault="00D73388">
      <w:pPr>
        <w:spacing w:after="148"/>
        <w:ind w:left="-5"/>
      </w:pPr>
      <w:r w:rsidRPr="00D73388">
        <w:rPr>
          <w:b/>
        </w:rPr>
        <w:t xml:space="preserve">PROCEDURA </w:t>
      </w:r>
    </w:p>
    <w:p w:rsidR="00FA4C77" w:rsidRPr="00D73388" w:rsidRDefault="00D73388">
      <w:pPr>
        <w:spacing w:after="186" w:line="259" w:lineRule="auto"/>
        <w:ind w:left="0" w:firstLine="0"/>
        <w:jc w:val="left"/>
      </w:pPr>
      <w:r w:rsidRPr="00D73388">
        <w:t xml:space="preserve"> </w:t>
      </w:r>
    </w:p>
    <w:p w:rsidR="00AA17FA" w:rsidRPr="00D73388" w:rsidRDefault="00D73388" w:rsidP="00AA17FA">
      <w:pPr>
        <w:numPr>
          <w:ilvl w:val="0"/>
          <w:numId w:val="3"/>
        </w:numPr>
        <w:ind w:hanging="240"/>
      </w:pPr>
      <w:r w:rsidRPr="00D73388">
        <w:t xml:space="preserve">Każdy uprawniony pracownik </w:t>
      </w:r>
      <w:r w:rsidR="00AA17FA">
        <w:t xml:space="preserve">składa wydrukowany i podpisany </w:t>
      </w:r>
      <w:r w:rsidRPr="00D73388">
        <w:t>wniosek do 23 listopada roku poprze</w:t>
      </w:r>
      <w:r w:rsidR="00AA17FA">
        <w:t>dzającego rok realizacji badań</w:t>
      </w:r>
      <w:r w:rsidR="002A2179">
        <w:t xml:space="preserve"> do Biura Dziekana. R</w:t>
      </w:r>
      <w:bookmarkStart w:id="0" w:name="_GoBack"/>
      <w:bookmarkEnd w:id="0"/>
      <w:r w:rsidR="00AA17FA" w:rsidRPr="00D73388">
        <w:t>ozstrzygnięcie następuje do 23 grudnia.</w:t>
      </w:r>
      <w:r w:rsidRPr="00D73388">
        <w:t xml:space="preserve"> </w:t>
      </w:r>
    </w:p>
    <w:p w:rsidR="00FA4C77" w:rsidRPr="00D73388" w:rsidRDefault="00D73388">
      <w:pPr>
        <w:numPr>
          <w:ilvl w:val="0"/>
          <w:numId w:val="3"/>
        </w:numPr>
        <w:ind w:hanging="240"/>
      </w:pPr>
      <w:r w:rsidRPr="00D73388">
        <w:t xml:space="preserve">Wnioski ocenia wydziałowa Komisja; przed przystąpieniem do oceny Komisja ustala szczegółowe kryteria, wraz z odpowiadającą im punktacją. </w:t>
      </w:r>
    </w:p>
    <w:p w:rsidR="00FA4C77" w:rsidRPr="00D73388" w:rsidRDefault="00D73388">
      <w:pPr>
        <w:numPr>
          <w:ilvl w:val="0"/>
          <w:numId w:val="3"/>
        </w:numPr>
        <w:ind w:hanging="240"/>
      </w:pPr>
      <w:r w:rsidRPr="00D73388">
        <w:t xml:space="preserve">Każdy wniosek ocenia dwóch członków Komisji; w przypadku dużej różnicy między ich ocenami (np. przekraczającej odchylenie standardowe = 1,5 dla 10-stopniowej skali ocen), dodatkowo wniosek recenzuje trzeci członek Komisji. </w:t>
      </w:r>
    </w:p>
    <w:p w:rsidR="00FA4C77" w:rsidRDefault="00D73388">
      <w:pPr>
        <w:numPr>
          <w:ilvl w:val="0"/>
          <w:numId w:val="3"/>
        </w:numPr>
        <w:spacing w:after="149"/>
        <w:ind w:hanging="240"/>
      </w:pPr>
      <w:r w:rsidRPr="00D73388">
        <w:t xml:space="preserve">Ostateczną listę rankingową zatwierdza Komisja w pełnym składzie.  </w:t>
      </w:r>
    </w:p>
    <w:p w:rsidR="001B22B5" w:rsidRDefault="001B22B5" w:rsidP="001B22B5">
      <w:pPr>
        <w:spacing w:after="149"/>
      </w:pPr>
    </w:p>
    <w:p w:rsidR="001B22B5" w:rsidRPr="00D73388" w:rsidRDefault="001B22B5" w:rsidP="001B22B5">
      <w:pPr>
        <w:spacing w:after="149"/>
      </w:pPr>
    </w:p>
    <w:p w:rsidR="00FA4C77" w:rsidRPr="00D73388" w:rsidRDefault="00D73388">
      <w:pPr>
        <w:spacing w:after="158" w:line="259" w:lineRule="auto"/>
        <w:ind w:left="0" w:firstLine="0"/>
        <w:jc w:val="left"/>
      </w:pPr>
      <w:r w:rsidRPr="00D73388">
        <w:t xml:space="preserve"> </w:t>
      </w:r>
    </w:p>
    <w:p w:rsidR="00FA4C77" w:rsidRPr="00D73388" w:rsidRDefault="00D73388">
      <w:pPr>
        <w:spacing w:after="158" w:line="259" w:lineRule="auto"/>
        <w:ind w:left="0" w:firstLine="0"/>
        <w:jc w:val="left"/>
      </w:pPr>
      <w:r w:rsidRPr="00D73388">
        <w:lastRenderedPageBreak/>
        <w:t xml:space="preserve"> </w:t>
      </w:r>
    </w:p>
    <w:p w:rsidR="00FA4C77" w:rsidRPr="00D73388" w:rsidRDefault="00D73388" w:rsidP="00E85CCC">
      <w:pPr>
        <w:spacing w:after="156" w:line="259" w:lineRule="auto"/>
        <w:ind w:left="0" w:firstLine="0"/>
        <w:jc w:val="left"/>
      </w:pPr>
      <w:r w:rsidRPr="00D73388">
        <w:t xml:space="preserve"> </w:t>
      </w:r>
      <w:r w:rsidRPr="00D73388">
        <w:rPr>
          <w:b/>
          <w:u w:val="single" w:color="000000"/>
        </w:rPr>
        <w:t>Wzór wniosku:</w:t>
      </w:r>
      <w:r w:rsidRPr="00D73388">
        <w:rPr>
          <w:b/>
        </w:rPr>
        <w:t xml:space="preserve"> </w:t>
      </w:r>
    </w:p>
    <w:p w:rsidR="00FA4C77" w:rsidRPr="00D73388" w:rsidRDefault="00D73388">
      <w:pPr>
        <w:spacing w:after="196" w:line="259" w:lineRule="auto"/>
        <w:ind w:left="0" w:firstLine="0"/>
        <w:jc w:val="left"/>
      </w:pPr>
      <w:r w:rsidRPr="00D73388">
        <w:t xml:space="preserve"> </w:t>
      </w:r>
    </w:p>
    <w:p w:rsidR="00FA4C77" w:rsidRPr="00D73388" w:rsidRDefault="00D73388">
      <w:pPr>
        <w:spacing w:after="176"/>
        <w:ind w:left="-5"/>
      </w:pPr>
      <w:r w:rsidRPr="00D73388">
        <w:rPr>
          <w:b/>
        </w:rPr>
        <w:t>Plan aktywności badawczej / podnoszącej kompetencje:</w:t>
      </w:r>
      <w:r w:rsidRPr="00D73388">
        <w:t xml:space="preserve">  </w:t>
      </w:r>
    </w:p>
    <w:p w:rsidR="00FA4C77" w:rsidRPr="00D73388" w:rsidRDefault="001B22B5">
      <w:pPr>
        <w:numPr>
          <w:ilvl w:val="0"/>
          <w:numId w:val="4"/>
        </w:numPr>
        <w:spacing w:after="146"/>
        <w:ind w:hanging="139"/>
      </w:pPr>
      <w:r>
        <w:t>cel działań;</w:t>
      </w:r>
    </w:p>
    <w:p w:rsidR="00FA4C77" w:rsidRPr="00D73388" w:rsidRDefault="00D73388">
      <w:pPr>
        <w:numPr>
          <w:ilvl w:val="0"/>
          <w:numId w:val="4"/>
        </w:numPr>
        <w:ind w:hanging="139"/>
      </w:pPr>
      <w:r w:rsidRPr="00D73388">
        <w:t>prob</w:t>
      </w:r>
      <w:r w:rsidR="001B22B5">
        <w:t>lem badawczy lub kompetencyjny;</w:t>
      </w:r>
    </w:p>
    <w:p w:rsidR="00FA4C77" w:rsidRPr="00D73388" w:rsidRDefault="00D73388">
      <w:pPr>
        <w:numPr>
          <w:ilvl w:val="0"/>
          <w:numId w:val="4"/>
        </w:numPr>
        <w:ind w:hanging="139"/>
      </w:pPr>
      <w:r w:rsidRPr="00D73388">
        <w:t>uzasadnienie pod kątem kryteriów regulaminowych,</w:t>
      </w:r>
      <w:r w:rsidR="001B22B5">
        <w:t xml:space="preserve"> które bierze pod uwagę Komisja;</w:t>
      </w:r>
      <w:r w:rsidRPr="00D73388">
        <w:t xml:space="preserve">  </w:t>
      </w:r>
    </w:p>
    <w:p w:rsidR="00FA4C77" w:rsidRPr="00D73388" w:rsidRDefault="00D73388">
      <w:pPr>
        <w:numPr>
          <w:ilvl w:val="0"/>
          <w:numId w:val="4"/>
        </w:numPr>
        <w:ind w:hanging="139"/>
      </w:pPr>
      <w:r w:rsidRPr="00D73388">
        <w:t>zakładane efekty</w:t>
      </w:r>
      <w:r w:rsidR="001B22B5">
        <w:t>;</w:t>
      </w:r>
      <w:r w:rsidRPr="00D73388">
        <w:t xml:space="preserve">  </w:t>
      </w:r>
    </w:p>
    <w:p w:rsidR="00E85CCC" w:rsidRPr="00D73388" w:rsidRDefault="001B22B5">
      <w:pPr>
        <w:spacing w:after="3" w:line="415" w:lineRule="auto"/>
        <w:ind w:left="-5" w:right="3140"/>
      </w:pPr>
      <w:r>
        <w:t>[maksymalnie 5</w:t>
      </w:r>
      <w:r w:rsidR="00D73388" w:rsidRPr="00D73388">
        <w:t xml:space="preserve"> tysięcy znaków (bez spacji)] </w:t>
      </w:r>
    </w:p>
    <w:p w:rsidR="00FA4C77" w:rsidRPr="00D73388" w:rsidRDefault="00D73388">
      <w:pPr>
        <w:spacing w:after="3" w:line="415" w:lineRule="auto"/>
        <w:ind w:left="-5" w:right="3140"/>
      </w:pPr>
      <w:r w:rsidRPr="00D73388">
        <w:rPr>
          <w:b/>
        </w:rPr>
        <w:t>Harmonogram działań:</w:t>
      </w:r>
      <w:r w:rsidRPr="00D73388">
        <w:t xml:space="preserve">  </w:t>
      </w:r>
    </w:p>
    <w:p w:rsidR="00FA4C77" w:rsidRPr="00D73388" w:rsidRDefault="00D73388">
      <w:pPr>
        <w:spacing w:after="148"/>
        <w:ind w:left="-5"/>
      </w:pPr>
      <w:r w:rsidRPr="00D73388">
        <w:rPr>
          <w:b/>
        </w:rPr>
        <w:t>Kosztorys wydatków:</w:t>
      </w:r>
      <w:r w:rsidRPr="00D73388">
        <w:t xml:space="preserve"> </w:t>
      </w:r>
    </w:p>
    <w:p w:rsidR="00FA4C77" w:rsidRPr="00D73388" w:rsidRDefault="00D73388">
      <w:pPr>
        <w:ind w:left="-5"/>
      </w:pPr>
      <w:r w:rsidRPr="00D73388">
        <w:rPr>
          <w:b/>
        </w:rPr>
        <w:t>Dorobek</w:t>
      </w:r>
      <w:r w:rsidRPr="00D73388">
        <w:t xml:space="preserve"> z ostatnich 5 lat przed rokiem realizacji wniosku (5 najważniejszych publikacji, postępowania awansowe, nagrody i wyróżnienia o charakterze pozawydziałowym, itp.): </w:t>
      </w:r>
    </w:p>
    <w:p w:rsidR="00FA4C77" w:rsidRPr="00D73388" w:rsidRDefault="00D73388">
      <w:pPr>
        <w:ind w:left="-5"/>
      </w:pPr>
      <w:r w:rsidRPr="00D73388">
        <w:rPr>
          <w:b/>
        </w:rPr>
        <w:t>Sprawozdanie</w:t>
      </w:r>
      <w:r w:rsidRPr="00D73388">
        <w:t xml:space="preserve"> z wykonania planu badań z poprzednich lat wraz z dokumentami: </w:t>
      </w:r>
    </w:p>
    <w:p w:rsidR="00FA4C77" w:rsidRPr="00D73388" w:rsidRDefault="00D73388">
      <w:pPr>
        <w:spacing w:after="143"/>
        <w:ind w:left="-5"/>
      </w:pPr>
      <w:r w:rsidRPr="00D73388">
        <w:t xml:space="preserve"> [maksymalnie </w:t>
      </w:r>
      <w:r w:rsidR="001B22B5">
        <w:t>4</w:t>
      </w:r>
      <w:r w:rsidRPr="00D73388">
        <w:t xml:space="preserve"> tysięcy znaków (bez spacji), ew. zaświadczenia, p</w:t>
      </w:r>
      <w:r w:rsidR="00E85CCC" w:rsidRPr="00D73388">
        <w:t>ublikacje itp. w załącznikach].</w:t>
      </w:r>
    </w:p>
    <w:p w:rsidR="00FA4C77" w:rsidRPr="00D73388" w:rsidRDefault="00D73388">
      <w:pPr>
        <w:spacing w:after="156" w:line="259" w:lineRule="auto"/>
        <w:ind w:left="0" w:firstLine="0"/>
        <w:jc w:val="left"/>
      </w:pPr>
      <w:r w:rsidRPr="00D73388">
        <w:t xml:space="preserve"> </w:t>
      </w:r>
    </w:p>
    <w:p w:rsidR="00FA4C77" w:rsidRDefault="00D73388">
      <w:pPr>
        <w:spacing w:after="0" w:line="259" w:lineRule="auto"/>
        <w:ind w:left="0" w:firstLine="0"/>
        <w:jc w:val="left"/>
      </w:pPr>
      <w:r w:rsidRPr="00D73388">
        <w:t xml:space="preserve"> </w:t>
      </w:r>
    </w:p>
    <w:p w:rsidR="00D73388" w:rsidRPr="00D73388" w:rsidRDefault="00D73388">
      <w:pPr>
        <w:spacing w:after="0" w:line="259" w:lineRule="auto"/>
        <w:ind w:left="0" w:firstLine="0"/>
        <w:jc w:val="left"/>
      </w:pPr>
    </w:p>
    <w:sectPr w:rsidR="00D73388" w:rsidRPr="00D73388">
      <w:pgSz w:w="11906" w:h="16838"/>
      <w:pgMar w:top="1442" w:right="1416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22"/>
    <w:multiLevelType w:val="hybridMultilevel"/>
    <w:tmpl w:val="81D440A0"/>
    <w:lvl w:ilvl="0" w:tplc="BF42FF2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642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F3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6F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A50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63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C2A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A28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9466C"/>
    <w:multiLevelType w:val="hybridMultilevel"/>
    <w:tmpl w:val="BC36E0D4"/>
    <w:lvl w:ilvl="0" w:tplc="E550D6D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A8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2F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26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64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ED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8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C0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E60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871C6A"/>
    <w:multiLevelType w:val="hybridMultilevel"/>
    <w:tmpl w:val="8716C186"/>
    <w:lvl w:ilvl="0" w:tplc="D04EC1C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C7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45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26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E8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E1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06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81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03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72263"/>
    <w:multiLevelType w:val="hybridMultilevel"/>
    <w:tmpl w:val="E88260F4"/>
    <w:lvl w:ilvl="0" w:tplc="02BC5B0A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9E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2B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A77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C81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053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24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899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CB9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7"/>
    <w:rsid w:val="001B22B5"/>
    <w:rsid w:val="002A2179"/>
    <w:rsid w:val="00AA17FA"/>
    <w:rsid w:val="00C56D5E"/>
    <w:rsid w:val="00D73388"/>
    <w:rsid w:val="00E85CCC"/>
    <w:rsid w:val="00ED2EF2"/>
    <w:rsid w:val="00F3041A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7D7A"/>
  <w15:docId w15:val="{B1CA9F82-D445-45EE-A4B6-7E8366C9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Potz</dc:creator>
  <cp:keywords/>
  <cp:lastModifiedBy>Agnieszka Wegrzynska</cp:lastModifiedBy>
  <cp:revision>8</cp:revision>
  <dcterms:created xsi:type="dcterms:W3CDTF">2023-10-26T05:30:00Z</dcterms:created>
  <dcterms:modified xsi:type="dcterms:W3CDTF">2023-10-27T05:43:00Z</dcterms:modified>
</cp:coreProperties>
</file>